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5" w:rsidRPr="00A42205" w:rsidRDefault="00A42205" w:rsidP="00A42205">
      <w:pPr>
        <w:shd w:val="clear" w:color="auto" w:fill="EEF3F6"/>
        <w:spacing w:line="630" w:lineRule="atLeast"/>
        <w:outlineLvl w:val="0"/>
        <w:rPr>
          <w:rFonts w:ascii="Geometria" w:eastAsia="Times New Roman" w:hAnsi="Geometria" w:cs="Arial"/>
          <w:color w:val="0478CF"/>
          <w:kern w:val="36"/>
          <w:sz w:val="54"/>
          <w:szCs w:val="54"/>
          <w:lang w:eastAsia="ru-RU"/>
        </w:rPr>
      </w:pPr>
      <w:r w:rsidRPr="00A42205">
        <w:rPr>
          <w:rFonts w:ascii="Geometria" w:eastAsia="Times New Roman" w:hAnsi="Geometria" w:cs="Arial"/>
          <w:color w:val="0478CF"/>
          <w:kern w:val="36"/>
          <w:sz w:val="54"/>
          <w:szCs w:val="54"/>
          <w:lang w:eastAsia="ru-RU"/>
        </w:rPr>
        <w:t>Условия договора об оказании услуг по передаче электрической энергии</w:t>
      </w:r>
    </w:p>
    <w:p w:rsidR="00A42205" w:rsidRPr="00A42205" w:rsidRDefault="00A42205" w:rsidP="00A42205">
      <w:pPr>
        <w:spacing w:after="100" w:afterAutospacing="1" w:line="390" w:lineRule="atLeast"/>
        <w:jc w:val="both"/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</w:pPr>
      <w:r w:rsidRPr="00A42205"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  <w:t xml:space="preserve">Общие принципы и порядок оказания сетевыми копаниями услуг по передаче электрической энергии определены  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РФ  от 27.12.2004 № 861. </w:t>
      </w:r>
    </w:p>
    <w:p w:rsidR="00A42205" w:rsidRPr="00A42205" w:rsidRDefault="00A42205" w:rsidP="00A42205">
      <w:pPr>
        <w:spacing w:after="100" w:afterAutospacing="1" w:line="390" w:lineRule="atLeast"/>
        <w:jc w:val="both"/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</w:pPr>
      <w:r w:rsidRPr="00A42205"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  <w:t xml:space="preserve"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 </w:t>
      </w:r>
    </w:p>
    <w:p w:rsidR="00A42205" w:rsidRPr="00A42205" w:rsidRDefault="00A42205" w:rsidP="00A42205">
      <w:pPr>
        <w:spacing w:after="100" w:afterAutospacing="1" w:line="390" w:lineRule="atLeast"/>
        <w:jc w:val="both"/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</w:pPr>
      <w:r w:rsidRPr="00A42205">
        <w:rPr>
          <w:rFonts w:ascii="GeometriaLight" w:eastAsia="Times New Roman" w:hAnsi="GeometriaLight" w:cs="Arial"/>
          <w:b/>
          <w:bCs/>
          <w:color w:val="54565C"/>
          <w:sz w:val="24"/>
          <w:szCs w:val="24"/>
          <w:lang w:eastAsia="ru-RU"/>
        </w:rPr>
        <w:t>Договор является публичным и обязательным к заключению для сетевой организации. 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  <w:r w:rsidRPr="00A42205"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  <w:t xml:space="preserve"> </w:t>
      </w:r>
    </w:p>
    <w:p w:rsidR="00A42205" w:rsidRPr="00A42205" w:rsidRDefault="00A42205" w:rsidP="00A4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а) лица, чьи энергопринимающие устройства технологически присоединены к электрической сети;</w:t>
      </w:r>
    </w:p>
    <w:p w:rsidR="00A42205" w:rsidRPr="00A42205" w:rsidRDefault="00A42205" w:rsidP="00A4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proofErr w:type="gramStart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  <w:proofErr w:type="gramEnd"/>
    </w:p>
    <w:p w:rsidR="00A42205" w:rsidRPr="00A42205" w:rsidRDefault="00A42205" w:rsidP="00A422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в) </w:t>
      </w:r>
      <w:proofErr w:type="spellStart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энергосбытовые</w:t>
      </w:r>
      <w:proofErr w:type="spellEnd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A42205" w:rsidRPr="00A42205" w:rsidRDefault="00A42205" w:rsidP="00A42205">
      <w:pPr>
        <w:spacing w:after="100" w:afterAutospacing="1" w:line="390" w:lineRule="atLeast"/>
        <w:jc w:val="both"/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</w:pPr>
      <w:r w:rsidRPr="00A42205"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  <w:t xml:space="preserve"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 </w:t>
      </w:r>
    </w:p>
    <w:p w:rsidR="00A42205" w:rsidRPr="00A42205" w:rsidRDefault="00A42205" w:rsidP="00A42205">
      <w:pPr>
        <w:spacing w:after="100" w:afterAutospacing="1" w:line="390" w:lineRule="atLeast"/>
        <w:jc w:val="both"/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</w:pPr>
      <w:r w:rsidRPr="00A42205">
        <w:rPr>
          <w:rFonts w:ascii="GeometriaLight" w:eastAsia="Times New Roman" w:hAnsi="GeometriaLight" w:cs="Arial"/>
          <w:b/>
          <w:bCs/>
          <w:color w:val="54565C"/>
          <w:sz w:val="24"/>
          <w:szCs w:val="24"/>
          <w:lang w:eastAsia="ru-RU"/>
        </w:rPr>
        <w:t>Договор содержит следующие существенные условия:</w:t>
      </w:r>
      <w:r w:rsidRPr="00A42205">
        <w:rPr>
          <w:rFonts w:ascii="GeometriaLight" w:eastAsia="Times New Roman" w:hAnsi="GeometriaLight" w:cs="Arial"/>
          <w:color w:val="54565C"/>
          <w:sz w:val="24"/>
          <w:szCs w:val="24"/>
          <w:lang w:eastAsia="ru-RU"/>
        </w:rPr>
        <w:t xml:space="preserve"> </w:t>
      </w:r>
    </w:p>
    <w:p w:rsidR="00A42205" w:rsidRPr="00A42205" w:rsidRDefault="00A42205" w:rsidP="00A4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а)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присоединения; </w:t>
      </w:r>
    </w:p>
    <w:p w:rsidR="00A42205" w:rsidRPr="00A42205" w:rsidRDefault="00A42205" w:rsidP="00A4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б) 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энергосистемы, ежегодно определяемых системным оператором; </w:t>
      </w:r>
    </w:p>
    <w:p w:rsidR="00A42205" w:rsidRPr="00A42205" w:rsidRDefault="00A42205" w:rsidP="00A4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</w:t>
      </w: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lastRenderedPageBreak/>
        <w:t xml:space="preserve">принадлежности электросетей и акте эксплуатационной ответственности сторон, являющихся приложениями к договору; </w:t>
      </w:r>
    </w:p>
    <w:p w:rsidR="00A42205" w:rsidRPr="00A42205" w:rsidRDefault="00A42205" w:rsidP="00A42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г)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 </w:t>
      </w:r>
    </w:p>
    <w:p w:rsidR="00A42205" w:rsidRPr="00A42205" w:rsidRDefault="00A42205" w:rsidP="00A42205">
      <w:pPr>
        <w:spacing w:after="0" w:line="240" w:lineRule="auto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b/>
          <w:bCs/>
          <w:sz w:val="24"/>
          <w:szCs w:val="24"/>
          <w:lang w:eastAsia="ru-RU"/>
        </w:rPr>
        <w:t xml:space="preserve">При исполнении договора потребитель услуг обязан: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а) соблюдать предусмотренный договором режим потребления (производства) электрической энергии (мощности). В случае систематического (2 и более раза в течение календарного года) превышения потребителем величины заявленной мощности более чем на 10 процентов при определении обязательств по договору используется величина фактически потребленной мощности в текущем периоде регулирования, а для потребителей, присоединенная мощность энергопринимающих устройств которых свыше 750 кВА, - величина максимальной мощности;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б) оплачивать услуги сетевой организации по передаче электрической энергии в размере и сроки, установленные договором;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proofErr w:type="gramStart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устройств;</w:t>
      </w:r>
      <w:proofErr w:type="gramEnd"/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г)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proofErr w:type="gramStart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proofErr w:type="gramEnd"/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е)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ж) выполнять требования сетевой организации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</w:t>
      </w: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lastRenderedPageBreak/>
        <w:t xml:space="preserve">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 </w:t>
      </w:r>
    </w:p>
    <w:p w:rsidR="00A42205" w:rsidRPr="00A42205" w:rsidRDefault="00A42205" w:rsidP="00A422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договором. </w:t>
      </w:r>
    </w:p>
    <w:p w:rsidR="00A42205" w:rsidRPr="00A42205" w:rsidRDefault="00A42205" w:rsidP="00A42205">
      <w:pPr>
        <w:spacing w:after="0" w:line="240" w:lineRule="auto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b/>
          <w:bCs/>
          <w:sz w:val="24"/>
          <w:szCs w:val="24"/>
          <w:lang w:eastAsia="ru-RU"/>
        </w:rPr>
        <w:t xml:space="preserve">При исполнении договора сетевая организация обязана: </w:t>
      </w:r>
    </w:p>
    <w:p w:rsidR="00A42205" w:rsidRPr="00A42205" w:rsidRDefault="00A42205" w:rsidP="00A42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а) обеспечить передачу электрической энергии в точке присоединения энергопринимающих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 с соблюдением величин аварийной и технологической брони; </w:t>
      </w:r>
    </w:p>
    <w:p w:rsidR="00A42205" w:rsidRPr="00A42205" w:rsidRDefault="00A42205" w:rsidP="00A42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б) осуществлять передачу электрической энергии в соответствии с согласованной категорией надежности энергопринимающих устройств потребителя услуг (потребителя электрической энергии, в интересах которого заключается договор); </w:t>
      </w:r>
    </w:p>
    <w:p w:rsidR="00A42205" w:rsidRPr="00A42205" w:rsidRDefault="00A42205" w:rsidP="00A42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в) определять в порядке, определяемом Министерством промышленности и энергетики Российской Федерации, </w:t>
      </w:r>
      <w:bookmarkStart w:id="0" w:name="_GoBack"/>
      <w:bookmarkEnd w:id="0"/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значения соотношения потребления активной и реактивной мощности для отдельных энергопринимающих устройств (групп энергопринимающих устройств) потребителей услуг. При этом указанные характеристики для потребителей, присоединенных к электрическим сетям напряжением 35 кВ и ниже, устанавливаются сетевой организацией, а для потребителей, присоединенных к электрическим сетям напряжением выше 35 кВ, - сетевой организацией совместно с соответствующим субъектом оперативно-диспетчерского управления; </w:t>
      </w:r>
    </w:p>
    <w:p w:rsidR="00A42205" w:rsidRPr="00A42205" w:rsidRDefault="00A42205" w:rsidP="00A42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 xml:space="preserve"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 </w:t>
      </w:r>
    </w:p>
    <w:p w:rsidR="00A42205" w:rsidRPr="00A42205" w:rsidRDefault="00A42205" w:rsidP="00A422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metria" w:eastAsia="Times New Roman" w:hAnsi="Geometria" w:cs="Arial"/>
          <w:sz w:val="24"/>
          <w:szCs w:val="24"/>
          <w:lang w:eastAsia="ru-RU"/>
        </w:rPr>
      </w:pPr>
      <w:r w:rsidRPr="00A42205">
        <w:rPr>
          <w:rFonts w:ascii="Geometria" w:eastAsia="Times New Roman" w:hAnsi="Geometria" w:cs="Arial"/>
          <w:sz w:val="24"/>
          <w:szCs w:val="24"/>
          <w:lang w:eastAsia="ru-RU"/>
        </w:rPr>
        <w:t>д) 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случаях, установленных договором.</w:t>
      </w:r>
    </w:p>
    <w:p w:rsidR="00C677BF" w:rsidRDefault="00C677BF"/>
    <w:sectPr w:rsidR="00C677BF" w:rsidSect="00A4220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metri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ia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7AD"/>
    <w:multiLevelType w:val="multilevel"/>
    <w:tmpl w:val="ADB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40B0"/>
    <w:multiLevelType w:val="multilevel"/>
    <w:tmpl w:val="CE3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371D4"/>
    <w:multiLevelType w:val="multilevel"/>
    <w:tmpl w:val="2E88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7393D"/>
    <w:multiLevelType w:val="multilevel"/>
    <w:tmpl w:val="3E6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4"/>
    <w:rsid w:val="00A42205"/>
    <w:rsid w:val="00C32E34"/>
    <w:rsid w:val="00C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Николаевич</dc:creator>
  <cp:keywords/>
  <dc:description/>
  <cp:lastModifiedBy>Иванов Михаил Николаевич</cp:lastModifiedBy>
  <cp:revision>2</cp:revision>
  <dcterms:created xsi:type="dcterms:W3CDTF">2018-03-27T09:35:00Z</dcterms:created>
  <dcterms:modified xsi:type="dcterms:W3CDTF">2018-03-27T09:36:00Z</dcterms:modified>
</cp:coreProperties>
</file>