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64" w:rsidRPr="00995311" w:rsidRDefault="002F0E64" w:rsidP="002F0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11">
        <w:rPr>
          <w:rFonts w:ascii="Times New Roman" w:hAnsi="Times New Roman" w:cs="Times New Roman"/>
          <w:b/>
          <w:sz w:val="24"/>
          <w:szCs w:val="24"/>
        </w:rPr>
        <w:t>Требования к местам установки приборов учета, схемы подключения и метрологические характеристики приборов учета</w:t>
      </w:r>
    </w:p>
    <w:p w:rsidR="002F0E64" w:rsidRDefault="002F0E64" w:rsidP="002F0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311" w:rsidRPr="00995311" w:rsidRDefault="00995311" w:rsidP="002F0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E64" w:rsidRPr="00995311" w:rsidRDefault="002F0E64" w:rsidP="002F0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объема потребления (производства) электрической энергии (мощности) на розничных рынках, оказанных услуг по передаче электрической энергии, а также фактических потерь электрической энергии в объектах электросетевого хозяйства осуществляется на основании данных, полученных: с использованием приборов учета электрической энергии, в том числе включенных в состав измерительных комплексов, систем учета; при отсутствии приборов учета - путем применения расчетных способов, предусмотренных «Общими положениями функционирования розничных рынков электрической энергии» утверждёнными постановлением Правительства РФ №442 от 04 мая 2012 года.</w:t>
      </w:r>
    </w:p>
    <w:p w:rsidR="002F0E64" w:rsidRDefault="002F0E64" w:rsidP="002F0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11" w:rsidRPr="00995311" w:rsidRDefault="00995311" w:rsidP="002F0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64" w:rsidRPr="00995311" w:rsidRDefault="002F0E64" w:rsidP="002F0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Термины, определения и сокращения.</w:t>
      </w:r>
    </w:p>
    <w:p w:rsidR="002F0E64" w:rsidRPr="00995311" w:rsidRDefault="002F0E64" w:rsidP="002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 учета электроэнергии</w:t>
      </w: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средство измерения, используемое для определения объемов (количества) потребления (производства, передачи) электрической энергии потребителями (гарантирующим поставщиком, сетевыми организациями).</w:t>
      </w:r>
      <w:proofErr w:type="gramEnd"/>
    </w:p>
    <w:p w:rsidR="002F0E64" w:rsidRPr="00995311" w:rsidRDefault="002F0E64" w:rsidP="002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прибор</w:t>
      </w: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прибор учета, обеспечивающий учет электрической энергии суммарно по состоянию на определенный момент времени.</w:t>
      </w:r>
    </w:p>
    <w:p w:rsidR="002F0E64" w:rsidRPr="00995311" w:rsidRDefault="002F0E64" w:rsidP="002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Измерительный комплекс</w:t>
      </w: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приборов учета и измерительных трансформаторов тока и (или) напряжения, соединенных между собой по установленной схеме, через которые такие приборы учета установлены (подключены) (далее - измерительные трансформаторы), предназначенная для измерения объемов электрической энергии (мощности) в одной точке поставки.</w:t>
      </w:r>
      <w:proofErr w:type="gramEnd"/>
    </w:p>
    <w:p w:rsidR="002F0E64" w:rsidRPr="00995311" w:rsidRDefault="002F0E64" w:rsidP="002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учета</w:t>
      </w: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измерительных комплексов, связующих и вычислительных компонентов, устрой</w:t>
      </w:r>
      <w:proofErr w:type="gramStart"/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сб</w:t>
      </w:r>
      <w:proofErr w:type="gramEnd"/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и передачи данных, программных средств, предназначенная для измерения, хранения, удаленного сбора и передачи показаний приборов учета по одной и более точек поставки.</w:t>
      </w:r>
    </w:p>
    <w:p w:rsidR="002F0E64" w:rsidRPr="00995311" w:rsidRDefault="002F0E64" w:rsidP="002F0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11">
        <w:rPr>
          <w:rFonts w:ascii="Times New Roman" w:hAnsi="Times New Roman" w:cs="Times New Roman"/>
          <w:b/>
          <w:sz w:val="24"/>
          <w:szCs w:val="24"/>
        </w:rPr>
        <w:t xml:space="preserve">Класс точности прибора учета </w:t>
      </w:r>
      <w:r w:rsidRPr="00995311">
        <w:rPr>
          <w:rFonts w:ascii="Times New Roman" w:hAnsi="Times New Roman" w:cs="Times New Roman"/>
          <w:sz w:val="24"/>
          <w:szCs w:val="24"/>
        </w:rPr>
        <w:t>- основной технический параметр электросчетчика, который указывает на уровень относительной погрешности измерений прибора.</w:t>
      </w:r>
    </w:p>
    <w:p w:rsidR="002F0E64" w:rsidRPr="00995311" w:rsidRDefault="002F0E64" w:rsidP="002F0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11">
        <w:rPr>
          <w:rFonts w:ascii="Times New Roman" w:hAnsi="Times New Roman" w:cs="Times New Roman"/>
          <w:b/>
          <w:sz w:val="24"/>
          <w:szCs w:val="24"/>
        </w:rPr>
        <w:t>ПУЭ</w:t>
      </w:r>
      <w:r w:rsidRPr="00995311">
        <w:rPr>
          <w:rFonts w:ascii="Times New Roman" w:hAnsi="Times New Roman" w:cs="Times New Roman"/>
          <w:sz w:val="24"/>
          <w:szCs w:val="24"/>
        </w:rPr>
        <w:t xml:space="preserve"> – Правила устройства электроустановок.</w:t>
      </w:r>
    </w:p>
    <w:p w:rsidR="002F0E64" w:rsidRPr="00995311" w:rsidRDefault="002F0E64" w:rsidP="002F0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64" w:rsidRPr="00995311" w:rsidRDefault="002F0E64" w:rsidP="002F0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Требования к местам установки приборов учета, схемы подключения и метрологические характеристики приборов учета</w:t>
      </w:r>
    </w:p>
    <w:p w:rsidR="002F0E64" w:rsidRPr="00995311" w:rsidRDefault="002F0E64" w:rsidP="002F0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и иным законным владельцам </w:t>
      </w:r>
      <w:proofErr w:type="spellStart"/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присоединённых (присое</w:t>
      </w:r>
      <w:r w:rsid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диняемых) к электрической сети </w:t>
      </w:r>
      <w:r w:rsidR="0063759F"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«ЗЭС»</w:t>
      </w: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имеющие намерение установить в отношении таких энергопринимающих устройств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рекомендуется ознакомиться с приведенными ниже требованиями</w:t>
      </w:r>
      <w:r w:rsidRPr="00995311">
        <w:rPr>
          <w:rFonts w:ascii="Times New Roman" w:hAnsi="Times New Roman" w:cs="Times New Roman"/>
          <w:sz w:val="24"/>
          <w:szCs w:val="24"/>
        </w:rPr>
        <w:t xml:space="preserve"> </w:t>
      </w: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 установки приборов учета, схемам подключения и метрологическим характеристикам приборов учета.  </w:t>
      </w:r>
    </w:p>
    <w:p w:rsidR="00995311" w:rsidRDefault="00995311" w:rsidP="0099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311" w:rsidRPr="00995311" w:rsidRDefault="00995311" w:rsidP="002F0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64" w:rsidRPr="00995311" w:rsidRDefault="002F0E64" w:rsidP="002F0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П. 2.1.</w:t>
      </w:r>
    </w:p>
    <w:p w:rsidR="002F0E64" w:rsidRPr="00995311" w:rsidRDefault="002F0E64" w:rsidP="002F0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18"/>
        <w:gridCol w:w="7396"/>
      </w:tblGrid>
      <w:tr w:rsidR="002F0E64" w:rsidRPr="00995311" w:rsidTr="00805417">
        <w:trPr>
          <w:tblHeader/>
        </w:trPr>
        <w:tc>
          <w:tcPr>
            <w:tcW w:w="2918" w:type="dxa"/>
          </w:tcPr>
          <w:p w:rsidR="002F0E64" w:rsidRPr="00995311" w:rsidRDefault="002F0E64" w:rsidP="00805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7396" w:type="dxa"/>
          </w:tcPr>
          <w:p w:rsidR="002F0E64" w:rsidRPr="00995311" w:rsidRDefault="002F0E64" w:rsidP="00805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требования</w:t>
            </w:r>
          </w:p>
        </w:tc>
      </w:tr>
      <w:tr w:rsidR="002F0E64" w:rsidRPr="00995311" w:rsidTr="00805417">
        <w:tc>
          <w:tcPr>
            <w:tcW w:w="2918" w:type="dxa"/>
          </w:tcPr>
          <w:p w:rsidR="002F0E64" w:rsidRPr="00995311" w:rsidRDefault="002F0E64" w:rsidP="009953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местам установки приборов учёта</w:t>
            </w:r>
          </w:p>
        </w:tc>
        <w:tc>
          <w:tcPr>
            <w:tcW w:w="7396" w:type="dxa"/>
          </w:tcPr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учета подлежат установке на границах балансовой принадлежности объектов электроэнергетики (энергопринимающих устройств) смежных субъектов розничного рынка - потребителей, производителей электрической энергии (мощности) на розничных рынках, сетевых организаций, имеющих общую границу балансовой принадлежности (далее - смежные субъекты розничного рынка), а также в иных местах, с соблюдением установленных законодательством Российской Федерации требований к местам установки приборов учета. </w:t>
            </w:r>
            <w:proofErr w:type="gramEnd"/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устройств) смежных субъектов розничного рынка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установки. </w:t>
            </w:r>
            <w:proofErr w:type="gramEnd"/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по соглашению между смежными субъектами розничного рынка прибор учета, подлежащий использованию для определения объемов потребления (производства, передачи) электрической энергии одного субъекта, может быть установлен в границах объектов электроэнергетики (энергопринимающих устройств) другого смежного субъекта.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установленный расчетный прибор учета должен иметь на винтах, крепящих кожух счетчика, пломбы с клеймом </w:t>
            </w:r>
            <w:proofErr w:type="spell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госповерителя</w:t>
            </w:r>
            <w:proofErr w:type="spell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на зажимной крышке - пломбу </w:t>
            </w:r>
            <w:proofErr w:type="spell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организации.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Счетчики должны устанавливаться в шкафах, камерах, комплектных распределительных устройствах, на панелях, щитах, в нишах, на стенах, имеющих жесткую конструкцию.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безопасной установки и замены счетчиков в сетях напряжением до 380</w:t>
            </w:r>
            <w:proofErr w:type="gram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предусматриваться возможность отключения счетчика установленными до него на расстоянии не более 10 м. коммутационным аппаратом или предохранителями. Снятие напряжения должно предусматриваться со всех фаз, присоединяемых к счетчику.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тока, используемые для присоединения счетчиков на напряжении до 380</w:t>
            </w:r>
            <w:proofErr w:type="gram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должны устанавливаться после коммутационных аппаратов по направлению потока мощности.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установка электронных счётчиков на высоте от уровня поверхности земли более 1.7 м., если указанные счётчики специально предназначены для наружной установки на опорах воздушных линий электропередачи 0.4 </w:t>
            </w:r>
            <w:proofErr w:type="spell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либо, если для снятия показаний об электропотреблении с указанных счётчиков имеется специальное электронное </w:t>
            </w: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устройство, запрограммированное для снятия показаний с соответствующего электронного счётчика.</w:t>
            </w:r>
          </w:p>
          <w:p w:rsidR="00995311" w:rsidRPr="00995311" w:rsidRDefault="00995311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4" w:rsidRPr="00995311" w:rsidTr="00805417">
        <w:tc>
          <w:tcPr>
            <w:tcW w:w="2918" w:type="dxa"/>
          </w:tcPr>
          <w:p w:rsidR="002F0E64" w:rsidRPr="00995311" w:rsidRDefault="002F0E64" w:rsidP="009953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к приборам учёта </w:t>
            </w:r>
            <w:r w:rsidRPr="00995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 </w:t>
            </w:r>
            <w:r w:rsidRPr="0099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основным метрологическим характеристикам</w:t>
            </w:r>
          </w:p>
        </w:tc>
        <w:tc>
          <w:tcPr>
            <w:tcW w:w="7396" w:type="dxa"/>
          </w:tcPr>
          <w:p w:rsidR="002F0E64" w:rsidRPr="00995311" w:rsidRDefault="002F0E64" w:rsidP="002F0E64">
            <w:pPr>
              <w:numPr>
                <w:ilvl w:val="0"/>
                <w:numId w:val="1"/>
              </w:numPr>
              <w:ind w:left="0"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учета электрической энергии, потребляемой </w:t>
            </w:r>
            <w:r w:rsidRPr="0099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гражданами</w:t>
            </w: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Pr="0099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границе раздела объектов электросетевого хозяйства и внутридомовых инженерных систем многоквартирного дома</w:t>
            </w: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подлежат использованию приборы учета класса точности 2,0 и выше. </w:t>
            </w:r>
          </w:p>
          <w:p w:rsidR="002F0E64" w:rsidRPr="00995311" w:rsidRDefault="002F0E64" w:rsidP="002F0E64">
            <w:pPr>
              <w:numPr>
                <w:ilvl w:val="0"/>
                <w:numId w:val="1"/>
              </w:numPr>
              <w:ind w:left="0"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9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многоквартирных домах</w:t>
            </w: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присоединяемых к электрической сет</w:t>
            </w:r>
            <w:proofErr w:type="gram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63759F"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="0063759F"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«ЗЭС»</w:t>
            </w: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границе раздела объектов электросетевого хозяйства и внутридомовых инженерных систем подлежат установке коллективные (общедомовые) приборы учета класса точности 1,0 и выше.</w:t>
            </w:r>
          </w:p>
          <w:p w:rsidR="002F0E64" w:rsidRPr="00995311" w:rsidRDefault="002F0E64" w:rsidP="002F0E64">
            <w:pPr>
              <w:numPr>
                <w:ilvl w:val="0"/>
                <w:numId w:val="1"/>
              </w:numPr>
              <w:ind w:left="0"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учета электрической энергии, потребляемой </w:t>
            </w:r>
            <w:r w:rsidRPr="0099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потребителями (кроме потребителей граждан и многоквартирных домов) с максимальной мощностью менее 670 кВт</w:t>
            </w: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подлежат использованию приборы учета класса точности 1,0 и выше - для точек присоединения к объектам электросетевого хозяйства напряжением 35 </w:t>
            </w:r>
            <w:proofErr w:type="spell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 и класса точности 0,5S и выше - для точек присоединения к объектам электросетевого хозяйства напряжением 110 </w:t>
            </w:r>
            <w:proofErr w:type="spell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выше.</w:t>
            </w:r>
            <w:proofErr w:type="gramEnd"/>
          </w:p>
          <w:p w:rsidR="002F0E64" w:rsidRPr="00995311" w:rsidRDefault="002F0E64" w:rsidP="002F0E64">
            <w:pPr>
              <w:numPr>
                <w:ilvl w:val="0"/>
                <w:numId w:val="1"/>
              </w:numPr>
              <w:ind w:left="0"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учета электрической энергии, потребляемой </w:t>
            </w:r>
            <w:r w:rsidRPr="0099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потребителями с максимальной мощностью не менее 670 кВт</w:t>
            </w: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подлежат использованию приборы учета, позволяющие измерять почасовые объемы потребления электрической энергии, класса точности 0,5S и выше, обеспечивающие хранение данных о почасовых объемах потребления электрической энергии </w:t>
            </w:r>
            <w:proofErr w:type="gram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90 дней и более или включенные в систему учета.</w:t>
            </w:r>
          </w:p>
          <w:p w:rsidR="002F0E64" w:rsidRPr="00995311" w:rsidRDefault="002F0E64" w:rsidP="002F0E64">
            <w:pPr>
              <w:numPr>
                <w:ilvl w:val="0"/>
                <w:numId w:val="1"/>
              </w:numPr>
              <w:ind w:left="0"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 измерительных трансформаторов, используемых в измерительных комплексах для установки (подключения) приборов учета, должен быть не ниже 0,5. Допускается использование измерительных трансформаторов напряжения класса точности 1,0 для установки (подключения) приборов учета класса точности 2,0.</w:t>
            </w:r>
          </w:p>
          <w:p w:rsidR="002F0E64" w:rsidRPr="00995311" w:rsidRDefault="002F0E64" w:rsidP="002F0E64">
            <w:pPr>
              <w:numPr>
                <w:ilvl w:val="0"/>
                <w:numId w:val="1"/>
              </w:numPr>
              <w:ind w:left="0"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до 12.06.2012 приборы учета (измерительные трансформаторы) класса точности ниже, чем указано в пунктах 2, 3, 4, 5 настоящих технических требований и (или) обеспечивающие хранение данных о почасовых объемах потребления электрической энергии меньшее количество дней, чем указано в пунктах 4 и 7 настоящих требований, могут быть использованы вплоть до </w:t>
            </w:r>
            <w:proofErr w:type="gram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истечения</w:t>
            </w:r>
            <w:proofErr w:type="gram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для них </w:t>
            </w:r>
            <w:proofErr w:type="spell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интервала (далее по тексту – МПИ) либо до момента выхода таких приборов учета из строя или их утраты, если это произошло до истечения МПИ. </w:t>
            </w:r>
          </w:p>
          <w:p w:rsidR="002F0E64" w:rsidRPr="00995311" w:rsidRDefault="002F0E64" w:rsidP="002F0E64">
            <w:pPr>
              <w:numPr>
                <w:ilvl w:val="0"/>
                <w:numId w:val="1"/>
              </w:numPr>
              <w:ind w:left="0"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учета класса точности ниже, чем указано в пункте 1 настоящих технических требований, используемые гражданами до 12.06.2012, могут быть использованы ими вплоть до истечения установленного срока их эксплуатации. </w:t>
            </w:r>
          </w:p>
          <w:p w:rsidR="002F0E64" w:rsidRPr="00995311" w:rsidRDefault="002F0E64" w:rsidP="002F0E64">
            <w:pPr>
              <w:numPr>
                <w:ilvl w:val="0"/>
                <w:numId w:val="1"/>
              </w:numPr>
              <w:ind w:left="0"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вновь устанавливаемых трехфазных счетчиках должны быть пломбы государственной поверки с давностью не более 12 мес., а на однофазных счетчиках - с давностью не более 2 лет. </w:t>
            </w:r>
          </w:p>
          <w:p w:rsidR="002F0E64" w:rsidRPr="00995311" w:rsidRDefault="002F0E64" w:rsidP="002F0E64">
            <w:pPr>
              <w:numPr>
                <w:ilvl w:val="0"/>
                <w:numId w:val="1"/>
              </w:numPr>
              <w:ind w:left="0"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 трансформации измерительных трансформаторов тока (при необходимости их применения) необходимо определить в соответствии с разрешенной к использованию нагрузкой.</w:t>
            </w:r>
          </w:p>
          <w:p w:rsidR="002F0E64" w:rsidRPr="00995311" w:rsidRDefault="002F0E64" w:rsidP="00805417">
            <w:pPr>
              <w:ind w:firstLine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0E64" w:rsidRPr="00995311" w:rsidTr="00805417">
        <w:tc>
          <w:tcPr>
            <w:tcW w:w="2918" w:type="dxa"/>
          </w:tcPr>
          <w:p w:rsidR="002F0E64" w:rsidRPr="00995311" w:rsidRDefault="002F0E64" w:rsidP="009953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Обязанность по обеспечению эксплуатации измерительных комплексов</w:t>
            </w:r>
          </w:p>
        </w:tc>
        <w:tc>
          <w:tcPr>
            <w:tcW w:w="7396" w:type="dxa"/>
          </w:tcPr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по обеспечению эксплуатации установленного и допущенного в эксплуатацию прибора учета, сохранности и целостности прибора учета, а также пломб и (или) знаков визуального контроля, снятию и хранению его показаний, своевременной замене возлагается на собственника такого прибора учета.</w:t>
            </w:r>
          </w:p>
        </w:tc>
      </w:tr>
      <w:tr w:rsidR="002F0E64" w:rsidRPr="00995311" w:rsidTr="00805417">
        <w:tc>
          <w:tcPr>
            <w:tcW w:w="2918" w:type="dxa"/>
          </w:tcPr>
          <w:p w:rsidR="002F0E64" w:rsidRPr="00995311" w:rsidRDefault="002F0E64" w:rsidP="009953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схемам подключения приборов учета</w:t>
            </w:r>
          </w:p>
        </w:tc>
        <w:tc>
          <w:tcPr>
            <w:tcW w:w="7396" w:type="dxa"/>
          </w:tcPr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включения электросчетчиков должны соответствовать схемам, приведенным производителем в паспортах на электросчетчики.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безопасной установки и замены электросчетчиков непосредственного включения в сетях напряжением до 380</w:t>
            </w:r>
            <w:proofErr w:type="gram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предусматриваться возможность отключения электросчетчика установленными до него на расстоянии не более 10 м. коммутационным аппаратом или предохранителями. Снятие напряжения должно предусматриваться со всех фаз, присоединяемых к электросчетчику.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расчетной нагрузке до 80</w:t>
            </w:r>
            <w:proofErr w:type="gram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использовать электросчетчики непосредственного включения.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Внутридомовую сеть к электросчетчику непосредственного включения необходимо подключать к выходным (нагрузочным) клеммам </w:t>
            </w:r>
            <w:proofErr w:type="spell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счѐтчика</w:t>
            </w:r>
            <w:proofErr w:type="spell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схемой,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указанной</w:t>
            </w:r>
            <w:proofErr w:type="gram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паспорте применяемого </w:t>
            </w:r>
            <w:proofErr w:type="spell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счѐтчика</w:t>
            </w:r>
            <w:proofErr w:type="spell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учета электропотребления </w:t>
            </w:r>
            <w:proofErr w:type="spell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электроприемников</w:t>
            </w:r>
            <w:proofErr w:type="spell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 надежности электроснабжения (АВР, ЦТП, ИТП, охранно-пожарная сигнализация, станции пожаротушения и т.д.) должны использоваться электросчетчики трансформаторного включения.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тока, используемые в составе измерительного комплекса для включения трехфазных электросчетчиков в сетях напряжением до 380</w:t>
            </w:r>
            <w:proofErr w:type="gram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должны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устанавливаться после коммутационных аппаратов (автоматических выключателей) по направлению потока мощности.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подключении трехфазных счетчиков через измерительные трансформаторы необходимо: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руководствоваться требованиями ПУЭ п.п.1.5.16 – 1.5.26;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выполнить расчет и произвести выбор трансформаторов тока с учетом фактической нагрузки;</w:t>
            </w:r>
          </w:p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измерительные цепи тока и напряжения вывести на специальные испытательные блоки, (испытательные </w:t>
            </w: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коробки).</w:t>
            </w:r>
          </w:p>
        </w:tc>
      </w:tr>
      <w:tr w:rsidR="002F0E64" w:rsidRPr="00995311" w:rsidTr="00805417">
        <w:tc>
          <w:tcPr>
            <w:tcW w:w="2918" w:type="dxa"/>
          </w:tcPr>
          <w:p w:rsidR="002F0E64" w:rsidRPr="00995311" w:rsidRDefault="002F0E64" w:rsidP="009953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Требования к срокам государственной поверки приборов учёта и измерительных трансформаторов</w:t>
            </w:r>
          </w:p>
        </w:tc>
        <w:tc>
          <w:tcPr>
            <w:tcW w:w="7396" w:type="dxa"/>
          </w:tcPr>
          <w:p w:rsidR="002F0E64" w:rsidRPr="00995311" w:rsidRDefault="002F0E64" w:rsidP="00805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поверка прибора учета, измерительных трансформаторов должна проводиться по истечении </w:t>
            </w:r>
            <w:proofErr w:type="spellStart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99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интервала, установленного для данного типа прибора учета, измерительного трансформатора в соответствии с законодательством Российской Федерации об обеспечении единства измерений, согласно «Реестру средств измерений РФ»</w:t>
            </w:r>
          </w:p>
        </w:tc>
      </w:tr>
    </w:tbl>
    <w:p w:rsidR="002F0E64" w:rsidRPr="00995311" w:rsidRDefault="002F0E64" w:rsidP="002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E64" w:rsidRPr="00995311" w:rsidRDefault="002F0E64" w:rsidP="002F0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энергопринимающих устройств, присоединённых (присоединяемых) к электрической сети </w:t>
      </w:r>
      <w:r w:rsidR="0063759F"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«ЗЭС»</w:t>
      </w: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имеющие намерение установить в отношении таких энергопринимающих устройств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должны направить в </w:t>
      </w:r>
      <w:r w:rsidR="0063759F"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«ЗЭС»</w:t>
      </w: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о согласовании места установки, схемы</w:t>
      </w:r>
      <w:proofErr w:type="gramEnd"/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подключения, метрологических и иных</w:t>
      </w:r>
      <w:r w:rsid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приборов учета. </w:t>
      </w:r>
      <w:bookmarkStart w:id="0" w:name="_GoBack"/>
      <w:bookmarkEnd w:id="0"/>
      <w:r w:rsidR="0063759F"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«ЗЭС»</w:t>
      </w: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 в согласовании мест установки, схемы подключения и метрологических характеристик приборов учета или иных компонентов измерительных комплексов и систем учета в следующих случаях:</w:t>
      </w:r>
    </w:p>
    <w:p w:rsidR="002F0E64" w:rsidRPr="00995311" w:rsidRDefault="002F0E64" w:rsidP="002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отсутствие технической </w:t>
      </w:r>
      <w:proofErr w:type="gramStart"/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осуществления установки системы учета</w:t>
      </w:r>
      <w:proofErr w:type="gramEnd"/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прибора учета в отношении указанных в запросе энергопринимающих устройств; </w:t>
      </w:r>
    </w:p>
    <w:p w:rsidR="002F0E64" w:rsidRPr="00995311" w:rsidRDefault="002F0E64" w:rsidP="002F0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9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несоответствие предложенных собственником в запросе мест установки, схем подключения и (или) метрологических характеристик приборов учета требованиям законодательства Российской Федерации.</w:t>
      </w:r>
    </w:p>
    <w:p w:rsidR="00300A2B" w:rsidRPr="00995311" w:rsidRDefault="00995311">
      <w:pPr>
        <w:rPr>
          <w:rFonts w:ascii="Times New Roman" w:hAnsi="Times New Roman" w:cs="Times New Roman"/>
          <w:sz w:val="24"/>
          <w:szCs w:val="24"/>
        </w:rPr>
      </w:pPr>
    </w:p>
    <w:sectPr w:rsidR="00300A2B" w:rsidRPr="00995311" w:rsidSect="00995311">
      <w:pgSz w:w="11906" w:h="16838"/>
      <w:pgMar w:top="1135" w:right="567" w:bottom="426" w:left="1134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0F24"/>
    <w:multiLevelType w:val="hybridMultilevel"/>
    <w:tmpl w:val="10E0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64"/>
    <w:rsid w:val="002F0E64"/>
    <w:rsid w:val="00337F32"/>
    <w:rsid w:val="0063759F"/>
    <w:rsid w:val="008A3C3B"/>
    <w:rsid w:val="00995311"/>
    <w:rsid w:val="00D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Анастасия Адреевна</dc:creator>
  <cp:lastModifiedBy>Павлова Наталья Петровна</cp:lastModifiedBy>
  <cp:revision>3</cp:revision>
  <dcterms:created xsi:type="dcterms:W3CDTF">2017-12-07T06:42:00Z</dcterms:created>
  <dcterms:modified xsi:type="dcterms:W3CDTF">2017-12-07T09:57:00Z</dcterms:modified>
</cp:coreProperties>
</file>