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8" w:rsidRPr="00775118" w:rsidRDefault="00775118" w:rsidP="00775118">
      <w:pPr>
        <w:spacing w:before="100" w:beforeAutospacing="1" w:after="100" w:afterAutospacing="1" w:line="630" w:lineRule="atLeast"/>
        <w:outlineLvl w:val="1"/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</w:pPr>
      <w:r w:rsidRPr="00775118">
        <w:rPr>
          <w:rFonts w:ascii="Arial" w:eastAsia="Times New Roman" w:hAnsi="Arial" w:cs="Arial"/>
          <w:b/>
          <w:bCs/>
          <w:color w:val="2C556F"/>
          <w:kern w:val="36"/>
          <w:sz w:val="54"/>
          <w:szCs w:val="54"/>
          <w:lang w:eastAsia="ru-RU"/>
        </w:rPr>
        <w:t>Нормативные документы</w:t>
      </w: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6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Гражданский кодекс Российской Федерации, ч. 2, Глава 30, §6 «Энергоснабжение» </w:t>
        </w:r>
      </w:hyperlink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7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26.03.2003 №35-Ф3 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электроэнергетике» Статья 26. Регулирование доступа к электрическим сетям и услугам по передаче электрической энергии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8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26.03.2003 №36-Ф3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 xml:space="preserve">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</w:t>
      </w:r>
      <w:proofErr w:type="gram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утратившими</w:t>
      </w:r>
      <w:proofErr w:type="gram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силу некоторых законодательных актов Российской Федерации в связи с принятием Федерального закона «Об электроэнергетике»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9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Федеральный закон от 17.08.1995 №147-ФЗ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естественных монополиях»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0" w:history="1">
        <w:proofErr w:type="gram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Постановление Правительства РФ от 27.12.2004 № 861 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энергопринимающих</w:t>
      </w:r>
      <w:proofErr w:type="spell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устройств потребителей электрической энергии, объектов по</w:t>
      </w:r>
      <w:proofErr w:type="gram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1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Постановление Правительства РФ от 27.12.2010 № 1172 </w:t>
        </w:r>
        <w:r w:rsidR="008D4D6D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2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04.05.2012 № 442 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3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23.05.2006 № 306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установления и определения нормативов потребления коммунальных услуг»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915AE0" w:rsidRDefault="00C60A38" w:rsidP="00915A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4" w:history="1">
        <w:r w:rsidR="00775118" w:rsidRPr="00915AE0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06.05.2011 г. №354 </w:t>
        </w:r>
      </w:hyperlink>
      <w:r w:rsidR="00915AE0" w:rsidRPr="00915AE0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915AE0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5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05.11.2003 № 674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6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</w:t>
        </w:r>
        <w:r w:rsidR="00915AE0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РФ от 24.02.2009 № 160 </w:t>
        </w:r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7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26 июля 2007 № 484</w:t>
        </w:r>
      </w:hyperlink>
      <w:r w:rsidR="0024521C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«О выводе объектов электроэнергетики в ремонт и из эксплуатации»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8" w:history="1">
        <w:proofErr w:type="gram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Приказ </w:t>
        </w:r>
        <w:proofErr w:type="spell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Минестерства</w:t>
        </w:r>
        <w:proofErr w:type="spellEnd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Энергетики Российской Федерации от 23 июня 2015 г. N 380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 xml:space="preserve">«О порядке расчета значений соотношения потребления активной и реактивной мощности для отдельных </w:t>
      </w:r>
      <w:proofErr w:type="spell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энергопринимающих</w:t>
      </w:r>
      <w:proofErr w:type="spell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устройств (групп </w:t>
      </w:r>
      <w:proofErr w:type="spell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энергопринимающих</w:t>
      </w:r>
      <w:proofErr w:type="spell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устройств) потребителей электрической энергии)»</w:t>
      </w:r>
      <w:proofErr w:type="gramEnd"/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19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Письмо </w:t>
        </w:r>
        <w:proofErr w:type="spell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Минпромэнерго</w:t>
        </w:r>
        <w:proofErr w:type="spellEnd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России от 01.11.2004 № ИМ-1374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оказании услуг по компенсации реактивной энергии (мощности)»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0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энергетики РФ от 6 июня 2013 № 290 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1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Правила устройства электроустановок (ПУЭ)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(Шестое издание, переработанное и дополненное, с изменениями)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2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энергетики РФ от 13 января 2003 г. № 6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технической эксплуатации электроустановок потребителей»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3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Министерства труда и социальной защиты РФ от 24 июля 2013 г. № 328н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по охране труда при эксплуатации электроустановок»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В области ценообразования в отношении услуг по передаче электрической энергии</w:t>
      </w: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4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РФ от 29.12.2011 № 1178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"О ценообразовании в области регулируемых цен (тарифов) в электроэнергетике"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5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06.08.2004 №20-э/2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(ред. от 16.09.2014)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расчету регулируемых тарифов и цен на электрическую (тепловую) энергию на розничном (потребительском) рынке»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6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Приказ ФСТ России от </w:t>
        </w:r>
        <w:proofErr w:type="spellStart"/>
        <w:proofErr w:type="gram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от</w:t>
        </w:r>
        <w:proofErr w:type="spellEnd"/>
        <w:proofErr w:type="gramEnd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 30.03</w:t>
        </w:r>
        <w:r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.2012 № 228-э13.06.2013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регулированию тарифов с применением метода доходности инвестированного капитала»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7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17.02.2012 № 98/1-э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нормы доходности инвестированного капитала, созданного после перехода территориальных сетевых организаций к регулированию методом доходности инвестированного капитала»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8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18.08.2010 № 183-э/1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 xml:space="preserve">«Об утверждении Порядка согласования Федеральной службой по тарифам </w:t>
      </w:r>
      <w:proofErr w:type="gram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предложений органов исполнительной власти субъектов Российской Федерации</w:t>
      </w:r>
      <w:proofErr w:type="gram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в 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первого трехлетнего долгосрочного периода регулирования».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29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05.07.2005 №275-э/4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0" w:history="1">
        <w:proofErr w:type="gramStart"/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ФСТ России от 28 марта 2013 г. N 313-э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</w:t>
      </w:r>
      <w:proofErr w:type="gramEnd"/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1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Приказ ФСТ РФ от 12.12.2011 № 795 - э 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Административного регламента предоставления Федеральной службой по тарифам государственной услуги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</w:t>
      </w:r>
      <w:proofErr w:type="gram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,</w:t>
      </w:r>
      <w:proofErr w:type="gram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обязательных для исполнения".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В области раскрытия информации субъектами рынков электрической энергии:</w:t>
      </w:r>
    </w:p>
    <w:p w:rsidR="00775118" w:rsidRPr="00775118" w:rsidRDefault="00C60A3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2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Постановление Правительства Российской Федерации от 21.01.2004 №24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стандартов раскрытия информации субъектами оптового и розничных рынков электрической энергии»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3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Приказ ФАС России от 29.09.2005 №224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4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Кодекс Российской Федерации об административных правонарушениях, Статья 19.8.1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</w:t>
      </w:r>
      <w:proofErr w:type="spellStart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Непредоставление</w:t>
      </w:r>
      <w:proofErr w:type="spellEnd"/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> </w:t>
      </w:r>
    </w:p>
    <w:p w:rsidR="00775118" w:rsidRPr="00775118" w:rsidRDefault="00775118" w:rsidP="007751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r w:rsidRPr="00775118">
        <w:rPr>
          <w:rFonts w:ascii="Verdana" w:eastAsia="Times New Roman" w:hAnsi="Verdana" w:cs="Arial"/>
          <w:i/>
          <w:iCs/>
          <w:color w:val="7C5443"/>
          <w:sz w:val="20"/>
          <w:szCs w:val="20"/>
          <w:lang w:eastAsia="ru-RU"/>
        </w:rPr>
        <w:t>Ответственность за правонарушения в сфере пользования электрической энергией:</w:t>
      </w:r>
    </w:p>
    <w:p w:rsidR="00775118" w:rsidRPr="00775118" w:rsidRDefault="00C60A38" w:rsidP="0077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5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>Уголовный кодекс Российской Федерации, статья 165</w:t>
        </w:r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«Причинение имущественного ущерба путем обмана или злоупотребления доверием»</w:t>
      </w:r>
    </w:p>
    <w:p w:rsidR="00775118" w:rsidRPr="00775118" w:rsidRDefault="00775118" w:rsidP="00775118">
      <w:pPr>
        <w:spacing w:after="0" w:line="240" w:lineRule="auto"/>
        <w:ind w:left="720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</w:p>
    <w:p w:rsidR="00775118" w:rsidRPr="00775118" w:rsidRDefault="00C60A38" w:rsidP="007751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7C5443"/>
          <w:sz w:val="20"/>
          <w:szCs w:val="20"/>
          <w:lang w:eastAsia="ru-RU"/>
        </w:rPr>
      </w:pPr>
      <w:hyperlink r:id="rId36" w:history="1">
        <w:r w:rsidR="00775118" w:rsidRPr="00775118">
          <w:rPr>
            <w:rFonts w:ascii="Verdana" w:eastAsia="Times New Roman" w:hAnsi="Verdana" w:cs="Arial"/>
            <w:b/>
            <w:bCs/>
            <w:color w:val="813F1C"/>
            <w:sz w:val="20"/>
            <w:szCs w:val="20"/>
            <w:lang w:eastAsia="ru-RU"/>
          </w:rPr>
          <w:t xml:space="preserve">Кодекс Российской Федерации об административных правонарушениях, Глава 9 </w:t>
        </w:r>
        <w:bookmarkStart w:id="0" w:name="_GoBack"/>
        <w:bookmarkEnd w:id="0"/>
      </w:hyperlink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t xml:space="preserve"> </w:t>
      </w:r>
      <w:r w:rsidR="00775118" w:rsidRPr="00775118">
        <w:rPr>
          <w:rFonts w:ascii="Verdana" w:eastAsia="Times New Roman" w:hAnsi="Verdana" w:cs="Arial"/>
          <w:color w:val="7C5443"/>
          <w:sz w:val="20"/>
          <w:szCs w:val="20"/>
          <w:lang w:eastAsia="ru-RU"/>
        </w:rPr>
        <w:br/>
        <w:t>«Административные правонарушения в промышленности, строительстве и энергетике»</w:t>
      </w:r>
    </w:p>
    <w:p w:rsidR="00F537F7" w:rsidRDefault="00F537F7"/>
    <w:sectPr w:rsidR="00F5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46F7"/>
    <w:multiLevelType w:val="multilevel"/>
    <w:tmpl w:val="55CE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B2BDD"/>
    <w:multiLevelType w:val="multilevel"/>
    <w:tmpl w:val="FA2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A403A"/>
    <w:multiLevelType w:val="multilevel"/>
    <w:tmpl w:val="63F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7062B"/>
    <w:multiLevelType w:val="multilevel"/>
    <w:tmpl w:val="AC9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72"/>
    <w:rsid w:val="0024521C"/>
    <w:rsid w:val="00775118"/>
    <w:rsid w:val="008D4D6D"/>
    <w:rsid w:val="00915AE0"/>
    <w:rsid w:val="00B16072"/>
    <w:rsid w:val="00C60A38"/>
    <w:rsid w:val="00F5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i.elektra.ru/wclient/epost4.zip" TargetMode="External"/><Relationship Id="rId18" Type="http://schemas.openxmlformats.org/officeDocument/2006/relationships/hyperlink" Target="http://www.mari.elektra.ru/wclient/eprikaz380.zip" TargetMode="External"/><Relationship Id="rId26" Type="http://schemas.openxmlformats.org/officeDocument/2006/relationships/hyperlink" Target="http://www.mari.elektra.ru/wclient/pr228.zip" TargetMode="External"/><Relationship Id="rId21" Type="http://schemas.openxmlformats.org/officeDocument/2006/relationships/hyperlink" Target="http://www.mari.elektra.ru/wclient/pravilo.zip" TargetMode="External"/><Relationship Id="rId34" Type="http://schemas.openxmlformats.org/officeDocument/2006/relationships/hyperlink" Target="http://www.mari.elektra.ru/wclient/kodeks1.zip" TargetMode="External"/><Relationship Id="rId7" Type="http://schemas.openxmlformats.org/officeDocument/2006/relationships/hyperlink" Target="http://www.mari.elektra.ru/wclient/fz1.zip" TargetMode="External"/><Relationship Id="rId12" Type="http://schemas.openxmlformats.org/officeDocument/2006/relationships/hyperlink" Target="http://www.mari.elektra.ru/wclient/epost442.zip" TargetMode="External"/><Relationship Id="rId17" Type="http://schemas.openxmlformats.org/officeDocument/2006/relationships/hyperlink" Target="http://www.mari.elektra.ru/wclient/epost10.zip" TargetMode="External"/><Relationship Id="rId25" Type="http://schemas.openxmlformats.org/officeDocument/2006/relationships/hyperlink" Target="http://www.mari.elektra.ru/wclient/eprikaz2.zip" TargetMode="External"/><Relationship Id="rId33" Type="http://schemas.openxmlformats.org/officeDocument/2006/relationships/hyperlink" Target="http://www.mari.elektra.ru/wclient/eprikaz10.zi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ri.elektra.ru/wclient/epost8.zip" TargetMode="External"/><Relationship Id="rId20" Type="http://schemas.openxmlformats.org/officeDocument/2006/relationships/hyperlink" Target="http://www.mari.elektra.ru/wclient/eprikaz290.zip" TargetMode="External"/><Relationship Id="rId29" Type="http://schemas.openxmlformats.org/officeDocument/2006/relationships/hyperlink" Target="http://www.mari.elektra.ru/wclient/eprikaz7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i.elektra.ru/wclient/kodeks.zip" TargetMode="External"/><Relationship Id="rId11" Type="http://schemas.openxmlformats.org/officeDocument/2006/relationships/hyperlink" Target="http://www.mari.elektra.ru/wclient/pp_1172.zip" TargetMode="External"/><Relationship Id="rId24" Type="http://schemas.openxmlformats.org/officeDocument/2006/relationships/hyperlink" Target="http://www.mari.elektra.ru/wclient/epost1178.zip" TargetMode="External"/><Relationship Id="rId32" Type="http://schemas.openxmlformats.org/officeDocument/2006/relationships/hyperlink" Target="http://www.mari.elektra.ru/wclient/epost13.zi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i.elektra.ru/wclient/epost7.zip" TargetMode="External"/><Relationship Id="rId23" Type="http://schemas.openxmlformats.org/officeDocument/2006/relationships/hyperlink" Target="http://www.mari.elektra.ru/wclient/pot-328.zip" TargetMode="External"/><Relationship Id="rId28" Type="http://schemas.openxmlformats.org/officeDocument/2006/relationships/hyperlink" Target="http://www.mari.elektra.ru/wclient/183.zip" TargetMode="External"/><Relationship Id="rId36" Type="http://schemas.openxmlformats.org/officeDocument/2006/relationships/hyperlink" Target="http://www.mari.elektra.ru/wclient/kodeks3.zip" TargetMode="External"/><Relationship Id="rId10" Type="http://schemas.openxmlformats.org/officeDocument/2006/relationships/hyperlink" Target="http://www.mari.elektra.ru/wclient/epost1.zip" TargetMode="External"/><Relationship Id="rId19" Type="http://schemas.openxmlformats.org/officeDocument/2006/relationships/hyperlink" Target="http://www.mari.elektra.ru/wclient/email1.zip" TargetMode="External"/><Relationship Id="rId31" Type="http://schemas.openxmlformats.org/officeDocument/2006/relationships/hyperlink" Target="http://www.mari.elektra.ru/wclient/pr79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.elektra.ru/wclient/fz3.zip" TargetMode="External"/><Relationship Id="rId14" Type="http://schemas.openxmlformats.org/officeDocument/2006/relationships/hyperlink" Target="http://www.mari.elektra.ru/wclient/epost5.zip" TargetMode="External"/><Relationship Id="rId22" Type="http://schemas.openxmlformats.org/officeDocument/2006/relationships/hyperlink" Target="http://www.mari.elektra.ru/wclient/eprikaz3.zip" TargetMode="External"/><Relationship Id="rId27" Type="http://schemas.openxmlformats.org/officeDocument/2006/relationships/hyperlink" Target="http://www.mari.elektra.ru/wclient/pr98-1.zip" TargetMode="External"/><Relationship Id="rId30" Type="http://schemas.openxmlformats.org/officeDocument/2006/relationships/hyperlink" Target="http://www.mari.elektra.ru/wclient/eprikaz8.zip" TargetMode="External"/><Relationship Id="rId35" Type="http://schemas.openxmlformats.org/officeDocument/2006/relationships/hyperlink" Target="http://www.mari.elektra.ru/wclient/kodeks2.zip" TargetMode="External"/><Relationship Id="rId8" Type="http://schemas.openxmlformats.org/officeDocument/2006/relationships/hyperlink" Target="http://www.mari.elektra.ru/wclient/fz2.zi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Николаевич</dc:creator>
  <cp:keywords/>
  <dc:description/>
  <cp:lastModifiedBy>Чикин Кирилл Николаевич</cp:lastModifiedBy>
  <cp:revision>5</cp:revision>
  <dcterms:created xsi:type="dcterms:W3CDTF">2018-03-27T09:11:00Z</dcterms:created>
  <dcterms:modified xsi:type="dcterms:W3CDTF">2023-04-07T07:27:00Z</dcterms:modified>
</cp:coreProperties>
</file>